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93F378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E3D98">
        <w:rPr>
          <w:rFonts w:ascii="Garamond" w:hAnsi="Garamond"/>
          <w:sz w:val="24"/>
          <w:szCs w:val="24"/>
        </w:rPr>
        <w:t>13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1998FD73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E3D98" w:rsidRPr="00294C0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https://zakazky.zcu.cz/contract_display_5975.html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DFE910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E3D98">
        <w:rPr>
          <w:rFonts w:ascii="Garamond" w:hAnsi="Garamond" w:cs="Arial"/>
          <w:b/>
          <w:sz w:val="22"/>
          <w:szCs w:val="22"/>
        </w:rPr>
        <w:t>10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E3D98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E3D98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31808" w14:textId="77777777" w:rsidR="00A314FB" w:rsidRDefault="00A314FB" w:rsidP="00795AAC">
      <w:r>
        <w:separator/>
      </w:r>
    </w:p>
  </w:endnote>
  <w:endnote w:type="continuationSeparator" w:id="0">
    <w:p w14:paraId="7250C741" w14:textId="77777777" w:rsidR="00A314FB" w:rsidRDefault="00A314F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04325" w14:textId="77777777" w:rsidR="00A314FB" w:rsidRDefault="00A314FB" w:rsidP="00795AAC">
      <w:r>
        <w:separator/>
      </w:r>
    </w:p>
  </w:footnote>
  <w:footnote w:type="continuationSeparator" w:id="0">
    <w:p w14:paraId="6AFF05C6" w14:textId="77777777" w:rsidR="00A314FB" w:rsidRDefault="00A314F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7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xczhaPHjBzog2/5WtsCQGBORQdu89bMuW0KOj04PDzE=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ZorV5/Dol0vbuqqiGCBWPJrf6BVl1bzyB3M5ki/O3U0=</DigestValue>
    </Reference>
  </SignedInfo>
  <SignatureValue>T0W1ya7uoc0+uvqRu6Ati1hLjZD5yxd5rvByKP/wAI1OBPrRgFF0OASBqtnFxEe+zYP5Pfxx3Cnn
gTW0cydPvi//+irEF+d32d5iUlOhncF9iWOAkK9JQUrey5uSkn66vk8wpei1LysT7HFhCCJAM3fp
hlazrYyT1i01din+JIVbu7+kx+Ss3SA/1/EtbhhSqSiLm+6r9pp5/0Fo2stea8jUZrygj/XXWENE
rhQEEHriu82Hv5/+UU2iOyNgCvW1W03gYTWt+VvLdtDXqCf5zhBwiLTo4Pa4+Nm5I4uBx0xSibn3
IQiaWkIwWjzTaEO/26B6mKnhLP0yjIZloeXxWg==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08VwBeYamlDggoSuKRRJLBVr3BV52RnF1lrF4LyZXvU=</DigestValue>
      </Reference>
      <Reference URI="/word/document.xml?ContentType=application/vnd.openxmlformats-officedocument.wordprocessingml.document.main+xml">
        <DigestMethod Algorithm="http://www.w3.org/2001/04/xmlenc#sha256"/>
        <DigestValue>MJLc3j41vBfa3bXV2s+NSY1HLVuFocdtw8cBwgPb7yg=</DigestValue>
      </Reference>
      <Reference URI="/word/endnotes.xml?ContentType=application/vnd.openxmlformats-officedocument.wordprocessingml.endnotes+xml">
        <DigestMethod Algorithm="http://www.w3.org/2001/04/xmlenc#sha256"/>
        <DigestValue>9Vh8UyNfZUYLYFivbzEEM6432y0KFCL8ADgKNB3sm3o=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5XcPgil4k8jWWq3t7FhKHUHWpCSiSc96A8i9w0gqdyw=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0cU/vcBpiSbhc9+Lvu0GdZpE+SK9+P7k4qyxi+/nwGg=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2023-04-26T11:52:01Z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2023-04-26T11:52:01Z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33</cp:revision>
  <cp:lastPrinted>2018-08-08T13:48:00Z</cp:lastPrinted>
  <dcterms:created xsi:type="dcterms:W3CDTF">2022-05-19T08:18:00Z</dcterms:created>
  <dcterms:modified xsi:type="dcterms:W3CDTF">2023-04-26T11:51:00Z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